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purl.oclc.org/ooxml/officeDocument/relationships/officeDocument" Target="word/document.xml"/></Relationships>
</file>

<file path=word/document.xml><?xml version="1.0" encoding="utf-8"?>
<w:document xmlns:w="http://purl.oclc.org/ooxml/wordprocessingml/main" xmlns:r="http://purl.oclc.org/ooxml/officeDocument/relationships">
  <w:body>
    <w:p>
      <w:pPr>
        <w:pStyle w:val="Title"/>
      </w:pPr>
      <w:r>
        <w:t xml:space="preserve">document-svg sample</w:t>
      </w:r>
    </w:p>
    <w:p>
      <w:pPr/>
      <w:r>
        <w:t xml:space="preserve">This document is written by scripts/make_samples.py so that the repository can ship a sample without borrowing someone else's file.</w:t>
      </w:r>
    </w:p>
    <w:p>
      <w:pPr>
        <w:pStyle w:val="Heading1"/>
      </w:pPr>
      <w:r>
        <w:t xml:space="preserve">What the converter reads here</w:t>
      </w:r>
    </w:p>
    <w:p>
      <w:pPr/>
      <w:r>
        <w:t xml:space="preserve">Paper size and margins, style inheritance, word-aware paragraph wrapping, tables with borders, and the header and footer below.</w:t>
      </w:r>
    </w:p>
    <w:p>
      <w:pPr>
        <w:pStyle w:val="Heading1"/>
      </w:pPr>
      <w:r>
        <w:t xml:space="preserve">Supported inputs</w:t>
      </w:r>
    </w:p>
    <w:tbl>
      <w:tblPr>
        <w:tblBorders>
          <w:top w:val="single" w:sz="6" w:color="9E9E9E"/>
          <w:left w:val="single" w:sz="6" w:color="9E9E9E"/>
          <w:bottom w:val="single" w:sz="6" w:color="9E9E9E"/>
          <w:right w:val="single" w:sz="6" w:color="9E9E9E"/>
          <w:insideH w:val="single" w:sz="6" w:color="9E9E9E"/>
          <w:insideV w:val="single" w:sz="6" w:color="9E9E9E"/>
        </w:tblBorders>
      </w:tblPr>
      <w:tr>
        <w:tc>
          <w:tcPr>
            <w:tcW w:w="2600" w:type="dxa"/>
          </w:tcPr>
          <w:p>
            <w:r>
              <w:rPr>
                <w:b/>
              </w:rPr>
              <w:t xml:space="preserve">Format</w:t>
            </w:r>
          </w:p>
        </w:tc>
        <w:tc>
          <w:tcPr>
            <w:tcW w:w="2600" w:type="dxa"/>
          </w:tcPr>
          <w:p>
            <w:r>
              <w:rPr>
                <w:b/>
              </w:rPr>
              <w:t xml:space="preserve">Entry point</w:t>
            </w:r>
          </w:p>
        </w:tc>
        <w:tc>
          <w:tcPr>
            <w:tcW w:w="2600" w:type="dxa"/>
          </w:tcPr>
          <w:p>
            <w:r>
              <w:rPr>
                <w:b/>
              </w:rPr>
              <w:t xml:space="preserve">Output</w:t>
            </w:r>
          </w:p>
        </w:tc>
      </w:tr>
      <w:tr>
        <w:tc>
          <w:tcPr>
            <w:tcW w:w="2600" w:type="dxa"/>
          </w:tcPr>
          <w:p>
            <w:r>
              <w:t xml:space="preserve">PDF</w:t>
            </w:r>
          </w:p>
        </w:tc>
        <w:tc>
          <w:tcPr>
            <w:tcW w:w="2600" w:type="dxa"/>
          </w:tcPr>
          <w:p>
            <w:r>
              <w:t xml:space="preserve">convert_path</w:t>
            </w:r>
          </w:p>
        </w:tc>
        <w:tc>
          <w:tcPr>
            <w:tcW w:w="2600" w:type="dxa"/>
          </w:tcPr>
          <w:p>
            <w:r>
              <w:t xml:space="preserve">page-NNNN.svg</w:t>
            </w:r>
          </w:p>
        </w:tc>
      </w:tr>
      <w:tr>
        <w:tc>
          <w:tcPr>
            <w:tcW w:w="2600" w:type="dxa"/>
          </w:tcPr>
          <w:p>
            <w:r>
              <w:t xml:space="preserve">PPTX</w:t>
            </w:r>
          </w:p>
        </w:tc>
        <w:tc>
          <w:tcPr>
            <w:tcW w:w="2600" w:type="dxa"/>
          </w:tcPr>
          <w:p>
            <w:r>
              <w:t xml:space="preserve">convert_path</w:t>
            </w:r>
          </w:p>
        </w:tc>
        <w:tc>
          <w:tcPr>
            <w:tcW w:w="2600" w:type="dxa"/>
          </w:tcPr>
          <w:p>
            <w:r>
              <w:t xml:space="preserve">one page per slide</w:t>
            </w:r>
          </w:p>
        </w:tc>
      </w:tr>
      <w:tr>
        <w:tc>
          <w:tcPr>
            <w:tcW w:w="2600" w:type="dxa"/>
          </w:tcPr>
          <w:p>
            <w:r>
              <w:t xml:space="preserve">XLSX</w:t>
            </w:r>
          </w:p>
        </w:tc>
        <w:tc>
          <w:tcPr>
            <w:tcW w:w="2600" w:type="dxa"/>
          </w:tcPr>
          <w:p>
            <w:r>
              <w:t xml:space="preserve">convert_path</w:t>
            </w:r>
          </w:p>
        </w:tc>
        <w:tc>
          <w:tcPr>
            <w:tcW w:w="2600" w:type="dxa"/>
          </w:tcPr>
          <w:p>
            <w:r>
              <w:t xml:space="preserve">one page per print page</w:t>
            </w:r>
          </w:p>
        </w:tc>
      </w:tr>
      <w:tr>
        <w:tc>
          <w:tcPr>
            <w:tcW w:w="2600" w:type="dxa"/>
          </w:tcPr>
          <w:p>
            <w:r>
              <w:t xml:space="preserve">DOCX</w:t>
            </w:r>
          </w:p>
        </w:tc>
        <w:tc>
          <w:tcPr>
            <w:tcW w:w="2600" w:type="dxa"/>
          </w:tcPr>
          <w:p>
            <w:r>
              <w:t xml:space="preserve">convert_path</w:t>
            </w:r>
          </w:p>
        </w:tc>
        <w:tc>
          <w:tcPr>
            <w:tcW w:w="2600" w:type="dxa"/>
          </w:tcPr>
          <w:p>
            <w:r>
              <w:t xml:space="preserve">one page per laid-out page</w:t>
            </w:r>
          </w:p>
        </w:tc>
      </w:tr>
    </w:tbl>
    <w:p>
      <w:pPr/>
      <w:r>
        <w:t xml:space="preserve"/>
      </w:r>
    </w:p>
    <w:p>
      <w:pPr/>
      <w:r>
        <w:t xml:space="preserve">A page break follows, so the sample spans two pages.</w:t>
      </w:r>
    </w:p>
    <w:p>
      <w:r>
        <w:br w:type="page"/>
      </w:r>
    </w:p>
    <w:p>
      <w:pPr>
        <w:pStyle w:val="Heading1"/>
      </w:pPr>
      <w:r>
        <w:t xml:space="preserve">Second page</w:t>
      </w:r>
    </w:p>
    <w:p>
      <w:pPr/>
      <w:r>
        <w:t xml:space="preserve">Each page of a DOCX becomes one SVG file. The footer carries a PAGE field, which the converter resolves to the page it is drawn on.</w:t>
      </w:r>
    </w:p>
    <w:sectPr>
      <w:headerReference w:type="default" r:id="rId4"/>
      <w:footerReference w:type="default" r:id="rId5"/>
      <w:pgSz w:w="11906" w:h="16838"/>
      <w:pgMar w:top="1134" w:right="1134" w:bottom="1134" w:left="1134" w:header="709" w:footer="709"/>
    </w:sectPr>
  </w:body>
</w:document>
</file>

<file path=word/footer1.xml><?xml version="1.0" encoding="utf-8"?>
<w:ftr xmlns:w="http://purl.oclc.org/ooxml/wordprocessingml/main" xmlns:r="http://purl.oclc.org/ooxml/officeDocument/relationships">
  <w:p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purl.oclc.org/ooxml/wordprocessingml/main" xmlns:r="http://purl.oclc.org/ooxml/officeDocument/relationships">
  <w:p>
    <w:r>
      <w:t>document-svg / sample document</w:t>
    </w:r>
  </w:p>
</w:hdr>
</file>

<file path=word/styles.xml><?xml version="1.0" encoding="utf-8"?>
<w:styles xmlns:w="http://purl.oclc.org/ooxml/wordprocessingml/main" xmlns:r="http://purl.oclc.org/ooxml/officeDocument/relationships">
  <w:docDefaults>
    <w:rPrDefault>
      <w:rPr>
        <w:rFonts w:ascii="Calibri" w:hAnsi="Calibri"/>
        <w:sz w:val="22"/>
      </w:rPr>
    </w:rPrDefault>
  </w:docDefaults>
  <w:style w:type="paragraph" w:styleId="Title">
    <w:name w:val="Title"/>
    <w:rPr>
      <w:b/>
      <w:sz w:val="56"/>
      <w:color w:val="304FFE"/>
    </w:rPr>
  </w:style>
  <w:style w:type="paragraph" w:styleId="Heading1">
    <w:name w:val="heading 1"/>
    <w:rPr>
      <w:b/>
      <w:sz w:val="32"/>
      <w:color w:val="1A237E"/>
    </w:rPr>
  </w:style>
</w:styles>
</file>

<file path=word/_rels/document.xml.rels><?xml version="1.0" encoding="UTF-8" standalone="yes"?><Relationships xmlns="http://schemas.openxmlformats.org/package/2006/relationships"><Relationship Id="rId2" Type="http://purl.oclc.org/ooxml/officeDocument/relationships/styles" Target="styles.xml"/><Relationship Id="rId4" Type="http://purl.oclc.org/ooxml/officeDocument/relationships/header" Target="header1.xml"/><Relationship Id="rId5" Type="http://purl.oclc.org/ooxml/officeDocument/relationships/footer" Target="footer1.xml"/></Relationships>
</file>